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176A1" w14:textId="77777777" w:rsidR="008D4A7D" w:rsidRPr="008D4A7D" w:rsidRDefault="008D4A7D" w:rsidP="008D4A7D">
      <w:pPr>
        <w:bidi/>
        <w:jc w:val="center"/>
        <w:rPr>
          <w:b/>
          <w:bCs/>
          <w:sz w:val="32"/>
          <w:szCs w:val="32"/>
          <w:rtl/>
        </w:rPr>
      </w:pPr>
      <w:r w:rsidRPr="008D4A7D">
        <w:rPr>
          <w:sz w:val="32"/>
          <w:szCs w:val="32"/>
        </w:rPr>
        <w:br/>
      </w:r>
      <w:r w:rsidRPr="008D4A7D">
        <w:rPr>
          <w:b/>
          <w:bCs/>
          <w:sz w:val="32"/>
          <w:szCs w:val="32"/>
          <w:rtl/>
        </w:rPr>
        <w:t>‌قانون تملک آپارتمانها</w:t>
      </w:r>
    </w:p>
    <w:p w14:paraId="6BFD9C05" w14:textId="5AFEA65F" w:rsidR="0086115D" w:rsidRPr="008D4A7D" w:rsidRDefault="008D4A7D" w:rsidP="008D4A7D">
      <w:pPr>
        <w:bidi/>
        <w:rPr>
          <w:sz w:val="32"/>
          <w:szCs w:val="32"/>
        </w:rPr>
      </w:pP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</w:t>
      </w:r>
      <w:r w:rsidRPr="008D4A7D">
        <w:rPr>
          <w:b/>
          <w:bCs/>
          <w:sz w:val="32"/>
          <w:szCs w:val="32"/>
          <w:rtl/>
        </w:rPr>
        <w:t>مصوب 1343.12.16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1 - مالکیت در آپارتمان‌های مختلف و محل‌های پیشه و سکنای یک ساختمان شامل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دو قسمت است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‌مالکیت قسمت‌های اختصاصی و مالکیت قسمتهای مشترک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2 - قسمتهای مشترک مذکور در این قانون عبارت از قسمتهایی از ساختمان است که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حق استفاده از آن منحصر به یک یا چند آپارتمان یا محل‌پیشه مخصوص نبوده و به کلیه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مالکین به نسبت قسمت اختصاصی آنها تعلق می‌گیرد به طور کلی قسمتهایی که برای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استفاده اختصاصی تشخیص داده‌نشده است یا در اسناد مالکیت ملک اختصاصی یک یا چند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نفر از مالکین تلقی نشده از قسمتها مشترک محسوب می‌شود مگر آن که تعلق آن به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قسمت‌معینی بر طبق عرف و عادت محل مورد تردید نباشد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3 - حقوق هر مالک در قسمت اختصاصی و حصه او در قسمت‌های مشترک غیر قابل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تفکیک بوده و در صورت انتقال قسمت اختصاصی به‌هر صورتی که باشد انتقال قسمت مشترک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قهری خواهد بود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4 - حقوق و تعهدات و همچنین حصه هر یک از مالکین قسمتهای اختصاصی از مخارج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قسمتهای مشترک متناسب است با نسبت مساحت‌قسمت اختصاصی به مجموع مساحت قسمتهای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اختصاصی تمام ساختمان به جز آنچه که به موجب این قانون استثناء شده باشد یا این که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قرارداد‌مالکین ترتیب دیگری را برای تقسیم حقوق و تعهدات و مخارج پیش‌بینی کرده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باشد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5 - انواع شرکتهای موضوع ماده 20 قانون تجارت که به قصد ساختمان خانه و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آپارتمان و محل کسب به منظور سکونت یا‌پیشه یا اجاره یا فروش تشکیل می‌شود از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انجام سایر معاملات بازرگانی غیر مربوط به کارهای ساختمانی ممنوعند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6 - چنانچه قراردادی بین مالکین یک ساختمان وجود نداشته باشد کلیه تصمیمات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مربوط به اداره و امور مربوط به قسمت‌های مشترک به‌اکثریت آراء مالکینی است که بیش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lastRenderedPageBreak/>
        <w:t>از نصف مساحت تمام قسمت‌های اختصاصی را مالک باشند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‌تبصره - نشانی مالکین برای ارسال کلیه دعوتنامه‌ها و اعلام تصمیمات مذکور در این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قانون همان محل اختصاصی آنها در ساختمان است مگر این‌که مالک نشانی دیگری را در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همان شهر برای این امر تعیین کرده باشد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7 - هر گاه یک آپارتمان یا یک محل کسب دارای مالکین متعدد باشد مالکین یا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قائم مقام قانونی آنها مکلفند یک نفر نماینده از طرف خود برای‌اجرای مقررات این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قانون و پرداخت حصه مخارج مشترک تعیین و معرفی نمایند در صورتی که اشخاص مزبور به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تکلیف فوق عمل نکنند رأی اکثریت‌بقیه مالکین نسبت به تمام معتبر خواهد بود مگر این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که عده حاضر کمتر از ثلث مالکین باشد که در این صورت برای یکدفعه تجدید دعوت خواهد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شد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8 - در هر ساختمان مشمول مقررات این قانون در صورتی که عده مالکین بیش از سه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نفر باشد مجمع عمومی مالکین مکلفند مدیر یا مدیرانی‌از بین خود یا از خارج انتخاب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نمایند طرز انتخاب مدیر از طرف مالکین و وظایف و تعهدات مدیر و امور مربوط به مدت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مدیریت و سایر موضوعات‌مربوطه در آیین‌نامه این قانون تعیین خواهد شد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9 - هر یک از مالکین می‌تواند با رعایت مقررات این قانون و سایر مقررات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ساختمانی عملیاتی را که برای استفاده بهتری از قسمت اختصاصی‌خود مفید می‌داند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انجام دهد هیچیک از مالکین حق ندارند بدون موافقت اکثریت سایر مالکین تغییراتی در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محل یا شکل در یا سردر یا نمای خارجی در‌قسمت اختصاصی خود که در مریی و منظر باشد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بدهند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10 - هر کس آپارتمانی را خریداری می‌نماید به نسبت مساحت قسمت اختصاصی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خریداری خود در زمینی که ساختمان روی آن بنا شده یا‌اختصاص به ساختمان دارد مشاعاً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سهیم می‌گردد مگر آن که مالکیت زمین مزبور به علت وقف یا خالصه بودن یا علل دیگر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متعلق به غیر باشد که در این‌صورت باید اجور آن را به همان نسبت به پردازد مخارج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مربوط به محافظت ملک و جلوگیری از انهدام و اداره و استفاده از اموال و قسمتهای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مشترک و‌به طور کلی مخارجی که جنبه مشترک دارد و یا به علت طبع ساختمان یا تأسیسات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lastRenderedPageBreak/>
        <w:t>آن اقتضا دارد یک جا انجام شود نیز باید به تناسب حصه هر مالک‌به ترتیبی که در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آیین‌نامه ذکر خواهد شد پرداخت شود هر چند آن مالک از استفاده از آنچه که مخارج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برای آن است صرفنظر نماید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‌ماده 11 - دولت مکلف است ظرف سه ماه پس از تصویب این قانون آیین‌نامه‌های اجرایی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آن را تهیه و بعد از تصویب هیأت وزیران به مورد اجرا به‌گذارد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‌دولت مأمور اجرای این قانون است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‌قانون بالا مشتمل بر یازده ماده و یک تبصره که در تاریخ دوم دی ماه یک هزار و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سیصد و چهل و سه به تصویب مجلس سنا رسیده بود در جلسه روز‌یکشنبه شانزدهم اسفند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ماه یک هزار و سیصد و چهل و سه به تصویب مجلس شورای ملی رسید</w:t>
      </w:r>
      <w:r w:rsidRPr="008D4A7D">
        <w:rPr>
          <w:sz w:val="32"/>
          <w:szCs w:val="32"/>
        </w:rPr>
        <w:t>.</w:t>
      </w:r>
      <w:r w:rsidRPr="008D4A7D">
        <w:rPr>
          <w:sz w:val="32"/>
          <w:szCs w:val="32"/>
        </w:rPr>
        <w:br/>
      </w:r>
      <w:r w:rsidRPr="008D4A7D">
        <w:rPr>
          <w:sz w:val="32"/>
          <w:szCs w:val="32"/>
          <w:rtl/>
        </w:rPr>
        <w:t>‌رییس مجلس شورای ملی - مهندس عبدالله ریاضی</w:t>
      </w:r>
    </w:p>
    <w:sectPr w:rsidR="0086115D" w:rsidRPr="008D4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7D"/>
    <w:rsid w:val="0086115D"/>
    <w:rsid w:val="008D4A7D"/>
    <w:rsid w:val="00B8065B"/>
    <w:rsid w:val="00DE31F2"/>
    <w:rsid w:val="00E9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168D4"/>
  <w15:chartTrackingRefBased/>
  <w15:docId w15:val="{0C8520CA-2E24-4E0E-A78C-1B9165E1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1F2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1</cp:revision>
  <dcterms:created xsi:type="dcterms:W3CDTF">2025-02-22T16:28:00Z</dcterms:created>
  <dcterms:modified xsi:type="dcterms:W3CDTF">2025-02-22T16:32:00Z</dcterms:modified>
</cp:coreProperties>
</file>